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9152" w14:textId="77777777" w:rsidR="00870C17" w:rsidRPr="00870C17" w:rsidRDefault="00870C17" w:rsidP="00870C17">
      <w:pPr>
        <w:spacing w:before="100" w:line="320" w:lineRule="exact"/>
        <w:jc w:val="center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Upute za Natječaj za kratkoročne mobilnosti u okviru programa </w:t>
      </w:r>
      <w:proofErr w:type="spellStart"/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+ programa u natječajnoj godina 2022.</w:t>
      </w:r>
    </w:p>
    <w:p w14:paraId="6003C2B1" w14:textId="77777777" w:rsidR="00870C17" w:rsidRPr="00870C17" w:rsidRDefault="00870C17" w:rsidP="00870C17">
      <w:pPr>
        <w:spacing w:before="100"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0B50DA38" w14:textId="77777777" w:rsidR="00870C17" w:rsidRPr="00870C17" w:rsidRDefault="00870C17" w:rsidP="00870C17">
      <w:pPr>
        <w:spacing w:before="100"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37D0489F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NA KOJE SE USTANOVE  MOŽE OTIĆI</w:t>
      </w:r>
    </w:p>
    <w:p w14:paraId="4C7ED108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212FDF54" w14:textId="77777777" w:rsidR="003730EF" w:rsidRPr="003730EF" w:rsidRDefault="003730EF" w:rsidP="003730EF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3730EF">
        <w:rPr>
          <w:rFonts w:ascii="Arial" w:eastAsia="Times New Roman" w:hAnsi="Arial" w:cs="Arial"/>
          <w:sz w:val="21"/>
          <w:szCs w:val="21"/>
          <w:lang w:eastAsia="hr-HR"/>
        </w:rPr>
        <w:t xml:space="preserve">Studenti Sveučilišta u Splitu mogu otići na inozemne visokoškolske ustanove u partnerskim zemljama (Regije 1-14) s kojima je Sveučilište u Splitu potpisalo </w:t>
      </w:r>
      <w:proofErr w:type="spellStart"/>
      <w:r w:rsidRPr="003730EF">
        <w:rPr>
          <w:rFonts w:ascii="Arial" w:eastAsia="Times New Roman" w:hAnsi="Arial" w:cs="Arial"/>
          <w:sz w:val="21"/>
          <w:szCs w:val="21"/>
          <w:lang w:eastAsia="hr-HR"/>
        </w:rPr>
        <w:t>Erasmus</w:t>
      </w:r>
      <w:proofErr w:type="spellEnd"/>
      <w:r w:rsidRPr="003730EF">
        <w:rPr>
          <w:rFonts w:ascii="Arial" w:eastAsia="Times New Roman" w:hAnsi="Arial" w:cs="Arial"/>
          <w:sz w:val="21"/>
          <w:szCs w:val="21"/>
          <w:lang w:eastAsia="hr-HR"/>
        </w:rPr>
        <w:t xml:space="preserve">+ bilateralni sporazum. </w:t>
      </w:r>
    </w:p>
    <w:p w14:paraId="223BB976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highlight w:val="yellow"/>
          <w:lang w:eastAsia="hr-HR"/>
        </w:rPr>
      </w:pPr>
    </w:p>
    <w:p w14:paraId="68469B3D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>Ukoliko Sveučilište u Splitu nema potpisan bilateralni sporazum s inozemnom visokoškolskom ustanovom, moguće ga je potpisati prije same mobilnosti, ukoliko su svi preduvjeti zadovoljeni.</w:t>
      </w:r>
    </w:p>
    <w:p w14:paraId="77BE55EA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highlight w:val="yellow"/>
          <w:lang w:eastAsia="hr-HR"/>
        </w:rPr>
      </w:pPr>
    </w:p>
    <w:p w14:paraId="5BF2DB48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DUŽINA BORAVKA</w:t>
      </w:r>
    </w:p>
    <w:p w14:paraId="0ED33AF1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5888E499" w14:textId="77777777" w:rsidR="00870C17" w:rsidRPr="00870C17" w:rsidRDefault="00870C17" w:rsidP="00870C17">
      <w:pPr>
        <w:numPr>
          <w:ilvl w:val="0"/>
          <w:numId w:val="5"/>
        </w:numPr>
        <w:autoSpaceDE w:val="0"/>
        <w:autoSpaceDN w:val="0"/>
        <w:adjustRightInd w:val="0"/>
        <w:spacing w:before="100" w:line="320" w:lineRule="exac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Kombinirana kratkoročna mobilnost studenata 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koja podrazumijeva fizičku mobilnost kombiniranu s online učenjem, odnosno s obaveznom virtualnom komponentom prije, tijekom i/ili nakon fizičkog dijela mobilnosti. Fizička mobilnost može trajati </w:t>
      </w: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od 5 do 30 dana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dok za virtualni dio mobilnosti nije određen kriterij prihvatljivosti trajanja, a kombinirana virtualna i fizička mobilnost moraju studentima (na svim razinama studija) donositi najmanje </w:t>
      </w: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3 ECTS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boda. </w:t>
      </w:r>
    </w:p>
    <w:p w14:paraId="16B6B280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ind w:left="720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</w:p>
    <w:p w14:paraId="79EAA812" w14:textId="77777777" w:rsidR="00870C17" w:rsidRPr="00870C17" w:rsidRDefault="00870C17" w:rsidP="00870C17">
      <w:pPr>
        <w:numPr>
          <w:ilvl w:val="0"/>
          <w:numId w:val="5"/>
        </w:numPr>
        <w:autoSpaceDE w:val="0"/>
        <w:autoSpaceDN w:val="0"/>
        <w:adjustRightInd w:val="0"/>
        <w:spacing w:before="100" w:line="320" w:lineRule="exact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Kombinirani intenzivni programi - BIP </w:t>
      </w:r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>(</w:t>
      </w:r>
      <w:proofErr w:type="spellStart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>eng</w:t>
      </w:r>
      <w:proofErr w:type="spellEnd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 xml:space="preserve">. </w:t>
      </w:r>
      <w:proofErr w:type="spellStart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>Blended</w:t>
      </w:r>
      <w:proofErr w:type="spellEnd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 xml:space="preserve"> </w:t>
      </w:r>
      <w:proofErr w:type="spellStart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>Intensive</w:t>
      </w:r>
      <w:proofErr w:type="spellEnd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 xml:space="preserve"> </w:t>
      </w:r>
      <w:proofErr w:type="spellStart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>Programmes</w:t>
      </w:r>
      <w:proofErr w:type="spellEnd"/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 xml:space="preserve">) 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su mobilnosti kojima</w:t>
      </w:r>
      <w:r w:rsidRPr="00870C17">
        <w:rPr>
          <w:rFonts w:ascii="Arial" w:eastAsia="Times New Roman" w:hAnsi="Arial" w:cs="Arial"/>
          <w:bCs/>
          <w:i/>
          <w:color w:val="000000"/>
          <w:sz w:val="21"/>
          <w:szCs w:val="21"/>
          <w:lang w:eastAsia="hr-HR"/>
        </w:rPr>
        <w:t xml:space="preserve"> 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fizički dio traje (minimalno) </w:t>
      </w: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5 dana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dok je virtualni dio određen programom BIP-a, a kombinirana virtualna i fizička mobilnost moraju studentima (na svim razinama studija) donositi najmanje </w:t>
      </w: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3 ECTS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boda.</w:t>
      </w:r>
    </w:p>
    <w:p w14:paraId="12FF233D" w14:textId="4054E08D" w:rsidR="00870C17" w:rsidRPr="00870C17" w:rsidRDefault="00870C17" w:rsidP="00870C17">
      <w:pPr>
        <w:spacing w:line="320" w:lineRule="exact"/>
        <w:ind w:left="720"/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Ova vrsta mobilnosti ostvaruje se sudjelovanjem na intenzivnom programu koji je organiziran od strane minimalno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3 visokoškolske institucije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iz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3 programske zemlje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. Program mora imati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minimalno 15 sudionika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i rezultirati s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minimalno 3 ECTS boda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za studenta polaznika 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(na svim razinama studija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).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Fizička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grupna mobilnost može trajati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između 5 i 30 dana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Obavezna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je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virtualna komponenta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prije, tijekom i/ili nakon fizičkog dijela mobilnosti.</w:t>
      </w:r>
    </w:p>
    <w:p w14:paraId="60F7A364" w14:textId="012F43E5" w:rsidR="00870C17" w:rsidRPr="00870C17" w:rsidRDefault="00870C17" w:rsidP="00870C17">
      <w:pPr>
        <w:numPr>
          <w:ilvl w:val="0"/>
          <w:numId w:val="5"/>
        </w:numPr>
        <w:shd w:val="clear" w:color="auto" w:fill="FFFFFF"/>
        <w:spacing w:before="100" w:line="320" w:lineRule="exact"/>
        <w:contextualSpacing/>
        <w:jc w:val="both"/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lastRenderedPageBreak/>
        <w:t xml:space="preserve">Kratkoročna (fizička) mobilnost </w:t>
      </w:r>
      <w:proofErr w:type="spellStart"/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>doktoranada</w:t>
      </w:r>
      <w:proofErr w:type="spellEnd"/>
      <w:r w:rsidRPr="00870C17">
        <w:rPr>
          <w:rFonts w:ascii="Arial" w:eastAsia="Times New Roman" w:hAnsi="Arial" w:cs="Arial"/>
          <w:b/>
          <w:bCs/>
          <w:color w:val="000000"/>
          <w:sz w:val="21"/>
          <w:szCs w:val="21"/>
          <w:lang w:eastAsia="hr-HR"/>
        </w:rPr>
        <w:t xml:space="preserve"> 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je novi vid mobilnosti za studente na doktorskoj razini studija koja </w:t>
      </w:r>
      <w:r w:rsidR="0000011A"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>podrazumijeva</w:t>
      </w:r>
      <w:r w:rsidRPr="00870C17">
        <w:rPr>
          <w:rFonts w:ascii="Arial" w:eastAsia="Times New Roman" w:hAnsi="Arial" w:cs="Arial"/>
          <w:bCs/>
          <w:color w:val="000000"/>
          <w:sz w:val="21"/>
          <w:szCs w:val="21"/>
          <w:lang w:eastAsia="hr-HR"/>
        </w:rPr>
        <w:t xml:space="preserve"> fizičku mobilnost u trajanju od 5 do 30 dana, bez obvezne virtualne komponente i bez obveze stjecanja ECTS bodova (osim u slučaju kombiniranih intenzivnih programa). </w:t>
      </w:r>
    </w:p>
    <w:p w14:paraId="17441111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294F7592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685E24F3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ŠKOLARINA</w:t>
      </w:r>
    </w:p>
    <w:p w14:paraId="7EBC5FFB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1BBB1AFE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Studenti na mobilnosti su oslobođeni troškova školarine na inozemnim visokoškolskim ustanovama, kao i svih drugih naknada koje se ne naplaćuju ni matičnim studentima, ali se od njih može zatražiti naknada za usluge koje se naplaćuju i matičnim studentima (fotokopiranje, osiguranje </w:t>
      </w:r>
      <w:proofErr w:type="spellStart"/>
      <w:r w:rsidRPr="00870C17">
        <w:rPr>
          <w:rFonts w:ascii="Arial" w:eastAsia="Times New Roman" w:hAnsi="Arial" w:cs="Arial"/>
          <w:sz w:val="21"/>
          <w:szCs w:val="21"/>
          <w:lang w:eastAsia="hr-HR"/>
        </w:rPr>
        <w:t>itd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>). Za vrijeme razdoblja mobilnosti studenti Sveučilišta u Splitu ostaju upisani na svojoj matičnoj ustanovi i dužni su nastaviti plaćati školarinu ukoliko su u kategoriji studenata koji u potpunosti ili djelomično sami financiraju svoj studij.</w:t>
      </w:r>
    </w:p>
    <w:p w14:paraId="74075105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57BC2959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IZNOS FINANCIJSKE POTPORE </w:t>
      </w:r>
    </w:p>
    <w:p w14:paraId="688B10F9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3A1711E6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Financijska potpora koja se dodjeljuje u sklopu programa </w:t>
      </w:r>
      <w:proofErr w:type="spellStart"/>
      <w:r w:rsidRPr="00870C17">
        <w:rPr>
          <w:rFonts w:ascii="Arial" w:eastAsia="Times New Roman" w:hAnsi="Arial" w:cs="Arial"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+ zamišljena je kao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dodatak (potpora) na troškove studiranja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koje bi student imao i na matičnom sveučilištu, tako da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nikako ne pokriva cjelokupni trošak boravka na inozemnom sveučilištu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. </w:t>
      </w:r>
    </w:p>
    <w:p w14:paraId="22167E8C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2"/>
        <w:gridCol w:w="2200"/>
      </w:tblGrid>
      <w:tr w:rsidR="00870C17" w:rsidRPr="00870C17" w14:paraId="03343BFB" w14:textId="77777777" w:rsidTr="00627D44">
        <w:trPr>
          <w:trHeight w:val="439"/>
          <w:jc w:val="center"/>
        </w:trPr>
        <w:tc>
          <w:tcPr>
            <w:tcW w:w="0" w:type="auto"/>
            <w:vAlign w:val="center"/>
          </w:tcPr>
          <w:p w14:paraId="54017A1B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Trajanje fizičke mobilnosti</w:t>
            </w:r>
          </w:p>
        </w:tc>
        <w:tc>
          <w:tcPr>
            <w:tcW w:w="0" w:type="auto"/>
            <w:vAlign w:val="center"/>
          </w:tcPr>
          <w:p w14:paraId="57B62EF4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b/>
                <w:sz w:val="21"/>
                <w:szCs w:val="21"/>
                <w:lang w:eastAsia="hr-HR"/>
              </w:rPr>
              <w:t>Financijska potpora</w:t>
            </w:r>
          </w:p>
        </w:tc>
      </w:tr>
      <w:tr w:rsidR="00870C17" w:rsidRPr="00870C17" w14:paraId="635A0769" w14:textId="77777777" w:rsidTr="00627D44">
        <w:trPr>
          <w:trHeight w:val="439"/>
          <w:jc w:val="center"/>
        </w:trPr>
        <w:tc>
          <w:tcPr>
            <w:tcW w:w="0" w:type="auto"/>
            <w:vAlign w:val="center"/>
          </w:tcPr>
          <w:p w14:paraId="05EDD0E6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Do 14. dana</w:t>
            </w:r>
          </w:p>
        </w:tc>
        <w:tc>
          <w:tcPr>
            <w:tcW w:w="0" w:type="auto"/>
            <w:vAlign w:val="center"/>
          </w:tcPr>
          <w:p w14:paraId="0F73AA54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70 EUR dnevno</w:t>
            </w:r>
          </w:p>
        </w:tc>
      </w:tr>
      <w:tr w:rsidR="00870C17" w:rsidRPr="00870C17" w14:paraId="5ED69E77" w14:textId="77777777" w:rsidTr="00627D44">
        <w:trPr>
          <w:trHeight w:val="406"/>
          <w:jc w:val="center"/>
        </w:trPr>
        <w:tc>
          <w:tcPr>
            <w:tcW w:w="0" w:type="auto"/>
            <w:vAlign w:val="center"/>
          </w:tcPr>
          <w:p w14:paraId="0FDB2CDD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Od 15. do 30. dana</w:t>
            </w:r>
          </w:p>
        </w:tc>
        <w:tc>
          <w:tcPr>
            <w:tcW w:w="0" w:type="auto"/>
            <w:vAlign w:val="center"/>
          </w:tcPr>
          <w:p w14:paraId="6654D0AE" w14:textId="77777777" w:rsidR="00870C17" w:rsidRPr="00870C17" w:rsidRDefault="00870C17" w:rsidP="00870C17">
            <w:pPr>
              <w:spacing w:line="320" w:lineRule="exact"/>
              <w:jc w:val="center"/>
              <w:rPr>
                <w:rFonts w:ascii="Arial" w:eastAsia="Times New Roman" w:hAnsi="Arial" w:cs="Arial"/>
                <w:sz w:val="21"/>
                <w:szCs w:val="21"/>
                <w:lang w:eastAsia="hr-HR"/>
              </w:rPr>
            </w:pPr>
            <w:r w:rsidRPr="00870C17">
              <w:rPr>
                <w:rFonts w:ascii="Arial" w:eastAsia="Times New Roman" w:hAnsi="Arial" w:cs="Arial"/>
                <w:sz w:val="21"/>
                <w:szCs w:val="21"/>
                <w:lang w:eastAsia="hr-HR"/>
              </w:rPr>
              <w:t>50 EUR dnevno</w:t>
            </w:r>
          </w:p>
        </w:tc>
      </w:tr>
    </w:tbl>
    <w:p w14:paraId="6A8A33B6" w14:textId="1337458F" w:rsid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4A744B9A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52EED051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OSIGURANJE </w:t>
      </w:r>
    </w:p>
    <w:p w14:paraId="2EBA8F4A" w14:textId="77777777" w:rsidR="00870C17" w:rsidRPr="00870C17" w:rsidRDefault="00870C17" w:rsidP="00870C17">
      <w:pPr>
        <w:spacing w:line="320" w:lineRule="exact"/>
        <w:jc w:val="both"/>
        <w:rPr>
          <w:rFonts w:ascii="Arial" w:eastAsia="Times New Roman" w:hAnsi="Arial" w:cs="Arial"/>
          <w:sz w:val="21"/>
          <w:szCs w:val="21"/>
          <w:highlight w:val="yellow"/>
          <w:lang w:eastAsia="hr-HR"/>
        </w:rPr>
      </w:pPr>
    </w:p>
    <w:p w14:paraId="4617D7E2" w14:textId="77777777" w:rsidR="00870C17" w:rsidRPr="00870C17" w:rsidRDefault="00870C17" w:rsidP="00870C17">
      <w:pPr>
        <w:tabs>
          <w:tab w:val="left" w:pos="2161"/>
        </w:tabs>
        <w:spacing w:after="120" w:line="320" w:lineRule="exact"/>
        <w:jc w:val="both"/>
        <w:rPr>
          <w:rFonts w:ascii="Arial" w:eastAsia="Times New Roman" w:hAnsi="Arial" w:cs="Arial"/>
          <w:b/>
          <w:sz w:val="21"/>
          <w:szCs w:val="21"/>
          <w:u w:val="single"/>
        </w:rPr>
      </w:pPr>
      <w:r w:rsidRPr="00870C17">
        <w:rPr>
          <w:rFonts w:ascii="Arial" w:eastAsia="Times New Roman" w:hAnsi="Arial" w:cs="Arial"/>
          <w:sz w:val="21"/>
          <w:szCs w:val="21"/>
        </w:rPr>
        <w:t xml:space="preserve">Student je dužan sklopiti policu zdravstvenog osiguranja za cijelo razdoblje mobilnosti. </w:t>
      </w:r>
    </w:p>
    <w:p w14:paraId="1BC1D651" w14:textId="77777777" w:rsidR="00870C17" w:rsidRPr="00870C17" w:rsidRDefault="00870C17" w:rsidP="00870C17">
      <w:pPr>
        <w:spacing w:before="120" w:after="120" w:line="320" w:lineRule="exact"/>
        <w:jc w:val="both"/>
        <w:rPr>
          <w:rFonts w:ascii="Arial" w:eastAsia="Times New Roman" w:hAnsi="Arial" w:cs="Arial"/>
          <w:snapToGrid w:val="0"/>
          <w:sz w:val="21"/>
          <w:szCs w:val="21"/>
          <w:lang w:eastAsia="en-GB"/>
        </w:rPr>
      </w:pPr>
      <w:r w:rsidRPr="00870C17">
        <w:rPr>
          <w:rFonts w:ascii="Arial" w:eastAsia="Times New Roman" w:hAnsi="Arial" w:cs="Arial"/>
          <w:snapToGrid w:val="0"/>
          <w:sz w:val="21"/>
          <w:szCs w:val="21"/>
          <w:lang w:eastAsia="en-GB"/>
        </w:rPr>
        <w:t xml:space="preserve">Osnovno osiguranje obično osigurava nacionalno zdravstveno osiguranje studenta i za njegovog boravka u drugoj zemlji EU preko europske zdravstvene iskaznice. Međutim, osiguranje koje pokriva europska zdravstvena iskaznica ili privatno osiguranje možda nije dovoljno, posebno u slučaju </w:t>
      </w:r>
      <w:r w:rsidRPr="00870C17">
        <w:rPr>
          <w:rFonts w:ascii="Arial" w:eastAsia="Times New Roman" w:hAnsi="Arial" w:cs="Arial"/>
          <w:b/>
          <w:snapToGrid w:val="0"/>
          <w:sz w:val="21"/>
          <w:szCs w:val="21"/>
          <w:lang w:eastAsia="en-GB"/>
        </w:rPr>
        <w:t>repatrijacije i određene liječničke intervencije</w:t>
      </w:r>
      <w:r w:rsidRPr="00870C17">
        <w:rPr>
          <w:rFonts w:ascii="Arial" w:eastAsia="Times New Roman" w:hAnsi="Arial" w:cs="Arial"/>
          <w:snapToGrid w:val="0"/>
          <w:sz w:val="21"/>
          <w:szCs w:val="21"/>
          <w:lang w:eastAsia="en-GB"/>
        </w:rPr>
        <w:t>. U tom slučaju može biti korisno dodatno privatno osiguranje.</w:t>
      </w:r>
    </w:p>
    <w:p w14:paraId="32EEB62D" w14:textId="77777777" w:rsidR="00870C17" w:rsidRPr="00870C17" w:rsidRDefault="00870C17" w:rsidP="00870C17">
      <w:pPr>
        <w:spacing w:before="120" w:after="120" w:line="320" w:lineRule="exact"/>
        <w:jc w:val="both"/>
        <w:rPr>
          <w:rFonts w:ascii="Arial" w:eastAsia="Times New Roman" w:hAnsi="Arial" w:cs="Arial"/>
          <w:snapToGrid w:val="0"/>
          <w:sz w:val="21"/>
          <w:szCs w:val="21"/>
          <w:lang w:eastAsia="en-GB"/>
        </w:rPr>
      </w:pPr>
      <w:r w:rsidRPr="00870C17">
        <w:rPr>
          <w:rFonts w:ascii="Arial" w:eastAsia="Times New Roman" w:hAnsi="Arial" w:cs="Arial"/>
          <w:b/>
          <w:snapToGrid w:val="0"/>
          <w:sz w:val="21"/>
          <w:szCs w:val="21"/>
          <w:lang w:val="fr-FR" w:eastAsia="en-GB"/>
        </w:rPr>
        <w:lastRenderedPageBreak/>
        <w:t>ŠTO JE POTREBNO NAPRAVITI PRIJE PRIJAVE</w:t>
      </w:r>
    </w:p>
    <w:p w14:paraId="0ACFBB96" w14:textId="199CFE21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>Svi studenti zainteresirani za kratkoročnu mobilnost, dužni su proučiti i u dogovoru s ECTS povjerenikom/</w:t>
      </w:r>
      <w:proofErr w:type="spellStart"/>
      <w:r w:rsidRPr="00870C17">
        <w:rPr>
          <w:rFonts w:ascii="Arial" w:eastAsia="Times New Roman" w:hAnsi="Arial" w:cs="Arial"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koordinatorom svoje sastavnice provjeriti u</w:t>
      </w:r>
      <w:r w:rsidR="0000011A">
        <w:rPr>
          <w:rFonts w:ascii="Arial" w:eastAsia="Times New Roman" w:hAnsi="Arial" w:cs="Arial"/>
          <w:sz w:val="21"/>
          <w:szCs w:val="21"/>
          <w:lang w:eastAsia="hr-HR"/>
        </w:rPr>
        <w:t>s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>klađenost programa kratkoročne mobilnosti s ishodima učenja  studijskog programa matičnog sveučilišta te ishoditi potpisanu potvrdu o usklađenosti. Prihvatno pismo inozemne institucije potrebno je predočili ECTS povjereniku/</w:t>
      </w:r>
      <w:proofErr w:type="spellStart"/>
      <w:r w:rsidRPr="00870C17">
        <w:rPr>
          <w:rFonts w:ascii="Arial" w:eastAsia="Times New Roman" w:hAnsi="Arial" w:cs="Arial"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koordinatoru sastavnice i priložiti ga prijavnoj dokumentaciji.</w:t>
      </w:r>
    </w:p>
    <w:p w14:paraId="5E5C17CC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Potrebno je obratiti pažnju na jezik na kojem se nastava izvodi.</w:t>
      </w:r>
    </w:p>
    <w:p w14:paraId="0E09D0B1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14:paraId="2997D923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ŠTO NAKON ODABIRA STUDENATA</w:t>
      </w:r>
    </w:p>
    <w:p w14:paraId="4171EE74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</w:p>
    <w:p w14:paraId="4AD5B0B5" w14:textId="77777777" w:rsidR="00870C17" w:rsidRPr="00870C17" w:rsidRDefault="00870C17" w:rsidP="00870C17">
      <w:pPr>
        <w:autoSpaceDE w:val="0"/>
        <w:autoSpaceDN w:val="0"/>
        <w:adjustRightInd w:val="0"/>
        <w:spacing w:line="320" w:lineRule="exact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Student odabran za mobilnost s potporom: </w:t>
      </w:r>
    </w:p>
    <w:p w14:paraId="02E8DE0F" w14:textId="77777777" w:rsidR="00870C17" w:rsidRPr="00870C17" w:rsidRDefault="00870C17" w:rsidP="00870C17">
      <w:pPr>
        <w:numPr>
          <w:ilvl w:val="0"/>
          <w:numId w:val="6"/>
        </w:numPr>
        <w:spacing w:before="100" w:line="320" w:lineRule="exact"/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>vrši on-line procjenu znanja radnog jezika institucije u koju odlazi ukoliko je mobilnost dulja od 14 dana</w:t>
      </w:r>
    </w:p>
    <w:p w14:paraId="3A9B91CF" w14:textId="77777777" w:rsidR="00870C17" w:rsidRPr="00870C17" w:rsidRDefault="00870C17" w:rsidP="00870C17">
      <w:pPr>
        <w:numPr>
          <w:ilvl w:val="0"/>
          <w:numId w:val="6"/>
        </w:numPr>
        <w:autoSpaceDE w:val="0"/>
        <w:autoSpaceDN w:val="0"/>
        <w:adjustRightInd w:val="0"/>
        <w:spacing w:before="100" w:line="320" w:lineRule="exact"/>
        <w:contextualSpacing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sastavlja </w:t>
      </w:r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>Online</w:t>
      </w: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proofErr w:type="spellStart"/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>Learning</w:t>
      </w:r>
      <w:proofErr w:type="spellEnd"/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 xml:space="preserve"> </w:t>
      </w:r>
      <w:proofErr w:type="spellStart"/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>Agreement</w:t>
      </w:r>
      <w:proofErr w:type="spellEnd"/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 xml:space="preserve"> for </w:t>
      </w:r>
      <w:proofErr w:type="spellStart"/>
      <w:r w:rsidRPr="00870C17">
        <w:rPr>
          <w:rFonts w:ascii="Arial" w:eastAsia="Times New Roman" w:hAnsi="Arial" w:cs="Arial"/>
          <w:b/>
          <w:i/>
          <w:sz w:val="21"/>
          <w:szCs w:val="21"/>
          <w:lang w:eastAsia="hr-HR"/>
        </w:rPr>
        <w:t>Studies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(kojeg digitalno potpisuje student, inozemna ustanova i ECTS povjerenik/</w:t>
      </w:r>
      <w:proofErr w:type="spellStart"/>
      <w:r w:rsidRPr="00870C17">
        <w:rPr>
          <w:rFonts w:ascii="Arial" w:eastAsia="Times New Roman" w:hAnsi="Arial" w:cs="Arial"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 koordinator na sastavnici)</w:t>
      </w:r>
    </w:p>
    <w:p w14:paraId="09C9E11A" w14:textId="3C23E808" w:rsidR="002F2CA8" w:rsidRPr="002F2CA8" w:rsidRDefault="00870C17" w:rsidP="002F2CA8">
      <w:pPr>
        <w:numPr>
          <w:ilvl w:val="0"/>
          <w:numId w:val="6"/>
        </w:numPr>
        <w:autoSpaceDE w:val="0"/>
        <w:autoSpaceDN w:val="0"/>
        <w:adjustRightInd w:val="0"/>
        <w:spacing w:before="100" w:line="320" w:lineRule="exact"/>
        <w:contextualSpacing/>
        <w:jc w:val="both"/>
        <w:rPr>
          <w:rFonts w:ascii="Arial" w:eastAsia="Times New Roman" w:hAnsi="Arial" w:cs="Arial"/>
          <w:b/>
          <w:sz w:val="21"/>
          <w:szCs w:val="21"/>
          <w:u w:val="single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dostavlja presliku </w:t>
      </w:r>
      <w:r w:rsidR="002F2CA8" w:rsidRPr="002F2CA8">
        <w:rPr>
          <w:rFonts w:ascii="Arial" w:eastAsia="Times New Roman" w:hAnsi="Arial" w:cs="Arial"/>
          <w:sz w:val="21"/>
          <w:szCs w:val="21"/>
          <w:lang w:eastAsia="hr-HR"/>
        </w:rPr>
        <w:t>policu zdravstvenog osiguranja za cijelo razdoblje mobilnosti</w:t>
      </w:r>
      <w:bookmarkStart w:id="0" w:name="_GoBack"/>
      <w:bookmarkEnd w:id="0"/>
      <w:r w:rsidR="002F2CA8" w:rsidRPr="002F2CA8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14:paraId="0798635A" w14:textId="77777777" w:rsidR="00870C17" w:rsidRPr="00870C17" w:rsidRDefault="00870C17" w:rsidP="00870C17">
      <w:pPr>
        <w:numPr>
          <w:ilvl w:val="0"/>
          <w:numId w:val="6"/>
        </w:numPr>
        <w:autoSpaceDE w:val="0"/>
        <w:autoSpaceDN w:val="0"/>
        <w:adjustRightInd w:val="0"/>
        <w:spacing w:before="100" w:line="320" w:lineRule="exact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>dostavlja presliku potvrde banke o otvorenom žiro računu na kojoj je vidljiv IBAN</w:t>
      </w:r>
    </w:p>
    <w:p w14:paraId="7C281556" w14:textId="77777777" w:rsidR="00870C17" w:rsidRPr="00870C17" w:rsidRDefault="00870C17" w:rsidP="00870C17">
      <w:pPr>
        <w:numPr>
          <w:ilvl w:val="0"/>
          <w:numId w:val="6"/>
        </w:numPr>
        <w:autoSpaceDE w:val="0"/>
        <w:autoSpaceDN w:val="0"/>
        <w:adjustRightInd w:val="0"/>
        <w:spacing w:before="100" w:line="320" w:lineRule="exact"/>
        <w:contextualSpacing/>
        <w:jc w:val="both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870C17">
        <w:rPr>
          <w:rFonts w:ascii="Arial" w:eastAsia="Times New Roman" w:hAnsi="Arial" w:cs="Arial"/>
          <w:sz w:val="21"/>
          <w:szCs w:val="21"/>
          <w:lang w:eastAsia="hr-HR"/>
        </w:rPr>
        <w:t xml:space="preserve">potpisuje sa Sveučilištem u Splitu </w:t>
      </w:r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Ugovor o dodjeli financijske potpore za </w:t>
      </w:r>
      <w:proofErr w:type="spellStart"/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Erasmus</w:t>
      </w:r>
      <w:proofErr w:type="spellEnd"/>
      <w:r w:rsidRPr="00870C17">
        <w:rPr>
          <w:rFonts w:ascii="Arial" w:eastAsia="Times New Roman" w:hAnsi="Arial" w:cs="Arial"/>
          <w:b/>
          <w:sz w:val="21"/>
          <w:szCs w:val="21"/>
          <w:lang w:eastAsia="hr-HR"/>
        </w:rPr>
        <w:t>+ kratkoročnu mobilnost</w:t>
      </w:r>
    </w:p>
    <w:p w14:paraId="40793B46" w14:textId="77777777" w:rsidR="00890773" w:rsidRPr="00870C17" w:rsidRDefault="00890773" w:rsidP="00870C17">
      <w:pPr>
        <w:spacing w:line="320" w:lineRule="exact"/>
        <w:ind w:left="1701" w:hanging="1701"/>
        <w:rPr>
          <w:rFonts w:ascii="Arial" w:hAnsi="Arial" w:cs="Arial"/>
          <w:sz w:val="21"/>
          <w:szCs w:val="21"/>
        </w:rPr>
      </w:pPr>
    </w:p>
    <w:sectPr w:rsidR="00890773" w:rsidRPr="00870C17" w:rsidSect="008F5569">
      <w:headerReference w:type="default" r:id="rId10"/>
      <w:footerReference w:type="default" r:id="rId11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32901" w14:textId="77777777" w:rsidR="00CB1310" w:rsidRDefault="00CB1310" w:rsidP="00DB4827">
      <w:r>
        <w:separator/>
      </w:r>
    </w:p>
  </w:endnote>
  <w:endnote w:type="continuationSeparator" w:id="0">
    <w:p w14:paraId="0AED3028" w14:textId="77777777" w:rsidR="00CB1310" w:rsidRDefault="00CB1310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11072" w14:textId="77777777" w:rsidR="00890773" w:rsidRDefault="00CC2E4A" w:rsidP="008F5569">
    <w:pPr>
      <w:pStyle w:val="Podnoje"/>
      <w:ind w:left="-851" w:firstLine="781"/>
    </w:pPr>
    <w:r>
      <w:rPr>
        <w:noProof/>
      </w:rPr>
      <w:drawing>
        <wp:inline distT="0" distB="0" distL="0" distR="0" wp14:anchorId="401AEBCC" wp14:editId="63D4C075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00C94C" w14:textId="77777777" w:rsidR="00DB4827" w:rsidRDefault="00DB482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5A3ED" w14:textId="77777777" w:rsidR="00CB1310" w:rsidRDefault="00CB1310" w:rsidP="00DB4827">
      <w:r>
        <w:separator/>
      </w:r>
    </w:p>
  </w:footnote>
  <w:footnote w:type="continuationSeparator" w:id="0">
    <w:p w14:paraId="5B10DB7D" w14:textId="77777777" w:rsidR="00CB1310" w:rsidRDefault="00CB1310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2DBD" w14:textId="77777777" w:rsidR="00DB4827" w:rsidRDefault="00DB4827" w:rsidP="00FE5FC7">
    <w:pPr>
      <w:pStyle w:val="Zaglavlje"/>
      <w:ind w:left="-2693"/>
    </w:pPr>
    <w:r>
      <w:rPr>
        <w:noProof/>
      </w:rPr>
      <w:drawing>
        <wp:inline distT="0" distB="0" distL="0" distR="0" wp14:anchorId="2091B77A" wp14:editId="11388389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2B7A7C" w14:textId="77777777" w:rsidR="00DB4827" w:rsidRDefault="00DB482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04E"/>
    <w:multiLevelType w:val="hybridMultilevel"/>
    <w:tmpl w:val="C0A4F8D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620"/>
    <w:multiLevelType w:val="hybridMultilevel"/>
    <w:tmpl w:val="981C0B8A"/>
    <w:lvl w:ilvl="0" w:tplc="4D36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F0828"/>
    <w:multiLevelType w:val="hybridMultilevel"/>
    <w:tmpl w:val="AAA2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05C1"/>
    <w:multiLevelType w:val="hybridMultilevel"/>
    <w:tmpl w:val="DFE875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A5635"/>
    <w:multiLevelType w:val="hybridMultilevel"/>
    <w:tmpl w:val="E690B4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BB1B6E"/>
    <w:multiLevelType w:val="hybridMultilevel"/>
    <w:tmpl w:val="E56C0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0011A"/>
    <w:rsid w:val="0005721C"/>
    <w:rsid w:val="001104AF"/>
    <w:rsid w:val="00237D6A"/>
    <w:rsid w:val="0027446A"/>
    <w:rsid w:val="002A65D3"/>
    <w:rsid w:val="002B0F87"/>
    <w:rsid w:val="002F2CA8"/>
    <w:rsid w:val="003730EF"/>
    <w:rsid w:val="004B775D"/>
    <w:rsid w:val="0056152F"/>
    <w:rsid w:val="0062408E"/>
    <w:rsid w:val="006F36D1"/>
    <w:rsid w:val="0070466A"/>
    <w:rsid w:val="00870C17"/>
    <w:rsid w:val="00890773"/>
    <w:rsid w:val="008F5569"/>
    <w:rsid w:val="009047B2"/>
    <w:rsid w:val="00B91BF7"/>
    <w:rsid w:val="00BB5A04"/>
    <w:rsid w:val="00BD2DF6"/>
    <w:rsid w:val="00CB1310"/>
    <w:rsid w:val="00CC2E4A"/>
    <w:rsid w:val="00DB4827"/>
    <w:rsid w:val="00DD4477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A2ED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B4827"/>
  </w:style>
  <w:style w:type="paragraph" w:styleId="Podnoje">
    <w:name w:val="footer"/>
    <w:basedOn w:val="Normal"/>
    <w:link w:val="Podnoje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B4827"/>
  </w:style>
  <w:style w:type="paragraph" w:styleId="Standard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iperveza">
    <w:name w:val="Hyperlink"/>
    <w:uiPriority w:val="99"/>
    <w:rsid w:val="0027446A"/>
    <w:rPr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27446A"/>
    <w:pPr>
      <w:spacing w:before="100"/>
      <w:ind w:left="720"/>
      <w:contextualSpacing/>
      <w:jc w:val="both"/>
    </w:pPr>
    <w:rPr>
      <w:rFonts w:ascii="Times New Roman" w:eastAsia="Times New Roman" w:hAnsi="Times New Roman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27446A"/>
    <w:rPr>
      <w:b/>
      <w:bCs/>
    </w:rPr>
  </w:style>
  <w:style w:type="paragraph" w:styleId="Tijeloteksta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,Tex"/>
    <w:basedOn w:val="Normal"/>
    <w:link w:val="TijelotekstaChar"/>
    <w:rsid w:val="0027446A"/>
    <w:pPr>
      <w:jc w:val="both"/>
    </w:pPr>
    <w:rPr>
      <w:rFonts w:ascii="Times New Roman" w:eastAsia="Times New Roman" w:hAnsi="Times New Roman" w:cs="Times New Roman"/>
      <w:snapToGrid w:val="0"/>
      <w:szCs w:val="20"/>
      <w:lang w:val="fr-FR" w:eastAsia="en-GB"/>
    </w:rPr>
  </w:style>
  <w:style w:type="character" w:customStyle="1" w:styleId="TijelotekstaChar">
    <w:name w:val="Tijelo teksta Char"/>
    <w:aliases w:val="Document Char,Doc Char,Body Text2 Char,doc Char,Standard paragraph Char,BodyText Char, (Norm) Char,Body Text 12 Char,bt Char,gl Char,uvlaka 2 Char,(Norm) Char,heading3 Char,Body Text - Level 2 Char,1body Char,BodText Char,- TF Char"/>
    <w:basedOn w:val="Zadanifontodlomka"/>
    <w:link w:val="Tijeloteksta"/>
    <w:rsid w:val="0027446A"/>
    <w:rPr>
      <w:rFonts w:ascii="Times New Roman" w:eastAsia="Times New Roman" w:hAnsi="Times New Roman" w:cs="Times New Roman"/>
      <w:snapToGrid w:val="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c3e1eb-dc02-4328-81de-b7b77fcb28a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EAE59B439954A9AEB382936F533F0" ma:contentTypeVersion="16" ma:contentTypeDescription="Stvaranje novog dokumenta." ma:contentTypeScope="" ma:versionID="e8e62a41e54a9f6af91ea4d880d05aa7">
  <xsd:schema xmlns:xsd="http://www.w3.org/2001/XMLSchema" xmlns:xs="http://www.w3.org/2001/XMLSchema" xmlns:p="http://schemas.microsoft.com/office/2006/metadata/properties" xmlns:ns3="c3c3e1eb-dc02-4328-81de-b7b77fcb28ab" xmlns:ns4="2ad9a768-6823-4c06-aa76-2b0986f1f424" targetNamespace="http://schemas.microsoft.com/office/2006/metadata/properties" ma:root="true" ma:fieldsID="ea97e5a9f2521679c8fe3ba25b4f407f" ns3:_="" ns4:_="">
    <xsd:import namespace="c3c3e1eb-dc02-4328-81de-b7b77fcb28ab"/>
    <xsd:import namespace="2ad9a768-6823-4c06-aa76-2b0986f1f4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e1eb-dc02-4328-81de-b7b77fcb28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9a768-6823-4c06-aa76-2b0986f1f42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0F9BF-058F-478A-83FB-9746823D01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70159-0EDA-4677-B290-7FD5DCC874A0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c3c3e1eb-dc02-4328-81de-b7b77fcb28ab"/>
    <ds:schemaRef ds:uri="http://schemas.microsoft.com/office/infopath/2007/PartnerControls"/>
    <ds:schemaRef ds:uri="2ad9a768-6823-4c06-aa76-2b0986f1f42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AB1322-8402-4495-9413-E084A355D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3e1eb-dc02-4328-81de-b7b77fcb28ab"/>
    <ds:schemaRef ds:uri="2ad9a768-6823-4c06-aa76-2b0986f1f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Filipa Jelaska</cp:lastModifiedBy>
  <cp:revision>3</cp:revision>
  <cp:lastPrinted>2023-01-12T10:14:00Z</cp:lastPrinted>
  <dcterms:created xsi:type="dcterms:W3CDTF">2023-05-29T07:31:00Z</dcterms:created>
  <dcterms:modified xsi:type="dcterms:W3CDTF">2023-05-29T07:32:00Z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0x01010050EEAE59B439954A9AEB382936F533F0</vt:lpwstr>
  </property>
  <property fmtid="{D5CDD505-2E9C-101B-9397-08002B2CF9AE}" pid="3" name="MediaServiceImageTags">
    <vt:lpwstr/>
  </property>
</Properties>
</file>